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E87B" w14:textId="77777777" w:rsidR="005154F5" w:rsidRDefault="005154F5">
      <w:pPr>
        <w:pStyle w:val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Partnership Program · Retro-bonus</w:t>
      </w:r>
    </w:p>
    <w:p w14:paraId="6404B7DC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From: SVI · Smart Virtual Intelligence</w:t>
      </w:r>
      <w:r>
        <w:rPr>
          <w:rFonts w:ascii="Calibri" w:hAnsi="Calibri" w:cs="Calibri"/>
          <w:color w:val="1A1A1A"/>
          <w:sz w:val="22"/>
          <w:szCs w:val="22"/>
        </w:rPr>
      </w:r>
    </w:p>
    <w:p w14:paraId="240E5275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To: partners who bring in clients</w:t>
      </w:r>
      <w:r>
        <w:rPr>
          <w:rFonts w:ascii="Calibri" w:hAnsi="Calibri" w:cs="Calibri"/>
          <w:color w:val="1A1A1A"/>
          <w:sz w:val="22"/>
          <w:szCs w:val="22"/>
        </w:rPr>
      </w:r>
    </w:p>
    <w:p w14:paraId="547E1CAF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Date: 2026-05-15</w:t>
      </w:r>
      <w:r>
        <w:rPr>
          <w:rFonts w:ascii="Calibri" w:hAnsi="Calibri" w:cs="Calibri"/>
          <w:color w:val="1A1A1A"/>
          <w:sz w:val="22"/>
          <w:szCs w:val="22"/>
        </w:rPr>
      </w:r>
    </w:p>
    <w:p w14:paraId="051F38AC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1A737AD1">
          <v:rect id="_x0000_i1025" style="width:0;height:1.5pt" o:hralign="center" o:hrstd="t" o:hr="t" fillcolor="#a0a0a0" stroked="f"/>
        </w:pict>
      </w:r>
    </w:p>
    <w:p w14:paraId="19CDE2D2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essence in one phrase</w:t>
      </w:r>
    </w:p>
    <w:p w14:paraId="0A835EF2" w14:textId="6C788C3F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Your business partner is your reward. One-time and every month.</w:t>
      </w:r>
      <w:r w:rsidR="005154F5">
        <w:rPr>
          <w:rFonts w:ascii="Calibri" w:hAnsi="Calibri" w:cs="Calibri"/>
          <w:color w:val="1A1A1A"/>
          <w:sz w:val="22"/>
          <w:szCs w:val="22"/>
        </w:rPr>
      </w:r>
      <w:r>
        <w:rPr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</w:p>
    <w:p w14:paraId="6CDE166B" w14:textId="72FD186F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 w:rsidRPr="003E353D">
        <w:rPr>
          <w:rFonts w:ascii="Calibri" w:hAnsi="Calibri" w:cs="Calibri"/>
          <w:b/>
          <w:bCs/>
          <w:color w:val="1A1A1A"/>
          <w:sz w:val="22"/>
          <w:szCs w:val="22"/>
        </w:rPr>
        <w:t>Recurring income from every partner.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  <w:r>
        <w:rPr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</w:p>
    <w:p w14:paraId="1F0F0308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5B3B5EBE">
          <v:rect id="_x0000_i1026" style="width:0;height:1.5pt" o:hralign="center" o:hrstd="t" o:hr="t" fillcolor="#a0a0a0" stroked="f"/>
        </w:pict>
      </w:r>
    </w:p>
    <w:p w14:paraId="1DF3FCA3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it works</w:t>
      </w:r>
    </w:p>
    <w:p w14:paraId="23D5B5EA" w14:textId="65276CF6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1. The client signs — enters into a contract for any SVI product.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</w:p>
    <w:p w14:paraId="58B09C7C" w14:textId="0D236A34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2. You receive — a one-time bonus right away + a retro-bonus every month.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</w:p>
    <w:p w14:paraId="0A703005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0FAE8F6B">
          <v:rect id="_x0000_i1027" style="width:0;height:1.5pt" o:hralign="center" o:hrstd="t" o:hr="t" fillcolor="#a0a0a0" stroked="f"/>
        </w:pict>
      </w:r>
    </w:p>
    <w:p w14:paraId="0CEEE3AC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Reward tariff grid</w:t>
      </w:r>
    </w:p>
    <w:p w14:paraId="43A0E545" w14:textId="77777777" w:rsidR="005154F5" w:rsidRDefault="005154F5">
      <w:pPr>
        <w:pStyle w:val="3"/>
        <w:rPr>
          <w:rFonts w:ascii="Calibri" w:eastAsia="Times New Roman" w:hAnsi="Calibri" w:cs="Calibri"/>
        </w:rPr>
      </w:pPr>
      <w:r>
        <w:rPr>
          <w:rFonts w:ascii="Segoe UI Symbol" w:eastAsia="Times New Roman" w:hAnsi="Segoe UI Symbol" w:cs="Segoe UI Symbol"/>
        </w:rPr>
        <w:t>🏛 HandOfHands — AI system for your business</w:t>
      </w:r>
      <w:r>
        <w:rPr>
          <w:rFonts w:ascii="Calibri" w:eastAsia="Times New Roman" w:hAnsi="Calibri" w:cs="Calibri"/>
        </w:rPr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503"/>
        <w:gridCol w:w="3507"/>
      </w:tblGrid>
      <w:tr w:rsidR="0098341F" w14:paraId="04D340C7" w14:textId="77777777" w:rsidTr="005154F5">
        <w:tc>
          <w:tcPr>
            <w:tcW w:w="30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0E88733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What you bring</w:t>
            </w:r>
          </w:p>
        </w:tc>
        <w:tc>
          <w:tcPr>
            <w:tcW w:w="19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3B8D51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Your reward</w:t>
            </w:r>
          </w:p>
        </w:tc>
      </w:tr>
      <w:tr w:rsidR="0098341F" w14:paraId="417B582D" w14:textId="77777777" w:rsidTr="005154F5">
        <w:tc>
          <w:tcPr>
            <w:tcW w:w="30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68C3F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Client buys the HandOfHands system</w:t>
            </w:r>
          </w:p>
        </w:tc>
        <w:tc>
          <w:tcPr>
            <w:tcW w:w="19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32EB5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10% of contract value</w:t>
            </w:r>
          </w:p>
        </w:tc>
      </w:tr>
    </w:tbl>
    <w:p w14:paraId="33F27B95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36C0C108">
          <v:rect id="_x0000_i1028" style="width:0;height:1.5pt" o:hralign="center" o:hrstd="t" o:hr="t" fillcolor="#a0a0a0" stroked="f"/>
        </w:pict>
      </w:r>
    </w:p>
    <w:p w14:paraId="787BD6AC" w14:textId="77777777" w:rsidR="005154F5" w:rsidRDefault="005154F5">
      <w:pPr>
        <w:pStyle w:val="3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📣 Marketing Agent — subscription</w:t>
      </w:r>
      <w:r>
        <w:rPr>
          <w:rFonts w:ascii="Calibri" w:eastAsia="Times New Roman" w:hAnsi="Calibri" w:cs="Calibri"/>
        </w:rPr>
      </w:r>
    </w:p>
    <w:p w14:paraId="41E772A1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Depends on the tariff chosen by the referred client: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213"/>
        <w:gridCol w:w="1524"/>
        <w:gridCol w:w="2474"/>
        <w:gridCol w:w="2799"/>
      </w:tblGrid>
      <w:tr w:rsidR="0098341F" w14:paraId="2ABFBE3B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672564E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Client tariff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09DBB2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Client price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5E21A5F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Referral fee (one-time)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4BE852D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Retro-bonus (per month paid)</w:t>
            </w:r>
          </w:p>
        </w:tc>
      </w:tr>
      <w:tr w:rsidR="0098341F" w14:paraId="206C957F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F19E06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Marketing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4815B0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$2,500 / mo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74BBA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$500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50EBA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$250 / mo</w:t>
            </w:r>
          </w:p>
        </w:tc>
      </w:tr>
      <w:tr w:rsidR="0098341F" w14:paraId="18DDC199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AFF55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SMM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3DA07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$3,000 / mo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B02D11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$700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BDA132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$300 / mo</w:t>
            </w:r>
          </w:p>
        </w:tc>
      </w:tr>
      <w:tr w:rsidR="0098341F" w14:paraId="135F492B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58DA8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Full (marketing + SMM)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C465FB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$5,000 / mo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89081A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$1,000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08B6F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$500 / mo</w:t>
            </w:r>
          </w:p>
        </w:tc>
      </w:tr>
    </w:tbl>
    <w:p w14:paraId="4986B5A3" w14:textId="1761E2F0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The retro-bonus is paid for every month of subscription.</w:t>
      </w:r>
      <w:r>
        <w:rPr>
          <w:rFonts w:ascii="Calibri" w:hAnsi="Calibri" w:cs="Calibri"/>
          <w:color w:val="1A1A1A"/>
          <w:sz w:val="22"/>
          <w:szCs w:val="22"/>
        </w:rPr>
      </w:r>
    </w:p>
    <w:p w14:paraId="4FF2FED6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1BBA1C7C">
          <v:rect id="_x0000_i1029" style="width:0;height:1.5pt" o:hralign="center" o:hrstd="t" o:hr="t" fillcolor="#a0a0a0" stroked="f"/>
        </w:pict>
      </w:r>
    </w:p>
    <w:p w14:paraId="55355550" w14:textId="7331BA83" w:rsidR="005154F5" w:rsidRPr="003E353D" w:rsidRDefault="003E353D" w:rsidP="003E353D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Your money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550"/>
        <w:gridCol w:w="1861"/>
        <w:gridCol w:w="2420"/>
        <w:gridCol w:w="3179"/>
      </w:tblGrid>
      <w:tr w:rsidR="0098341F" w14:paraId="1CD41304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7A16CAE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Tariff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577409B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One-time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19A68C7A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Retro over 12 mo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567DE9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Total per year from 1 client</w:t>
            </w:r>
          </w:p>
        </w:tc>
      </w:tr>
      <w:tr w:rsidR="0098341F" w14:paraId="1FA9293A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EA3C1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Marketing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10550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9B1ED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$250 × 12 = $3,000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FA555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$3,500</w:t>
            </w:r>
          </w:p>
        </w:tc>
      </w:tr>
      <w:tr w:rsidR="0098341F" w14:paraId="75A1EF93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9F4D2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SMM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5F4B52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$700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D9828C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$300 × 12 = $3,600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72152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$4,300</w:t>
            </w:r>
          </w:p>
        </w:tc>
      </w:tr>
      <w:tr w:rsidR="0098341F" w14:paraId="202BC537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70D10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Full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0F4E9B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$1,000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478D70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$500 × 12 = $6,000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09E891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$7,000</w:t>
            </w:r>
          </w:p>
        </w:tc>
      </w:tr>
    </w:tbl>
    <w:p w14:paraId="1D038085" w14:textId="3558C7AD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Every referred HandOfHands deal of $109K = $10,900 one-time.</w:t>
      </w:r>
      <w:r w:rsidR="005154F5">
        <w:rPr>
          <w:rFonts w:ascii="Calibri" w:hAnsi="Calibri" w:cs="Calibri"/>
          <w:color w:val="1A1A1A"/>
          <w:sz w:val="22"/>
          <w:szCs w:val="22"/>
        </w:rPr>
      </w:r>
      <w:r>
        <w:rPr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</w:r>
      <w:r w:rsidR="005154F5">
        <w:rPr>
          <w:rFonts w:ascii="Calibri" w:hAnsi="Calibri" w:cs="Calibri"/>
          <w:color w:val="1A1A1A"/>
          <w:sz w:val="22"/>
          <w:szCs w:val="22"/>
        </w:rPr>
      </w:r>
    </w:p>
    <w:p w14:paraId="473A844A" w14:textId="30993AC2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6616D070">
          <v:rect id="_x0000_i1032" style="width:0;height:1.5pt" o:hralign="center" o:hrstd="t" o:hr="t" fillcolor="#a0a0a0" stroked="f"/>
        </w:pict>
      </w:r>
    </w:p>
    <w:p w14:paraId="2AF1D48A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7"/>
          <w:rFonts w:ascii="Calibri" w:hAnsi="Calibri" w:cs="Calibri"/>
          <w:color w:val="1A1A1A"/>
          <w:sz w:val="22"/>
          <w:szCs w:val="22"/>
        </w:rPr>
        <w:t>Program terms are confidential. SVI reserves the right to individual arrangements on large deals.</w:t>
      </w:r>
    </w:p>
    <w:sectPr w:rsidR="0051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768"/>
    <w:multiLevelType w:val="multilevel"/>
    <w:tmpl w:val="5FA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E421E"/>
    <w:multiLevelType w:val="multilevel"/>
    <w:tmpl w:val="698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157547">
    <w:abstractNumId w:val="0"/>
  </w:num>
  <w:num w:numId="2" w16cid:durableId="21269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F5"/>
    <w:rsid w:val="003E353D"/>
    <w:rsid w:val="005154F5"/>
    <w:rsid w:val="005A3504"/>
    <w:rsid w:val="0098341F"/>
    <w:rsid w:val="00E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708E"/>
  <w15:chartTrackingRefBased/>
  <w15:docId w15:val="{F59630D9-C29F-490F-A6EC-1E61FF5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Bdr>
        <w:bottom w:val="single" w:sz="12" w:space="5" w:color="00A0C4"/>
      </w:pBdr>
      <w:spacing w:before="100" w:beforeAutospacing="1" w:after="100" w:afterAutospacing="1"/>
      <w:outlineLvl w:val="0"/>
    </w:pPr>
    <w:rPr>
      <w:b/>
      <w:bCs/>
      <w:color w:val="1A1A2E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360" w:after="100" w:afterAutospacing="1"/>
      <w:outlineLvl w:val="1"/>
    </w:pPr>
    <w:rPr>
      <w:b/>
      <w:bCs/>
      <w:color w:val="0A4D63"/>
      <w:sz w:val="34"/>
      <w:szCs w:val="34"/>
    </w:rPr>
  </w:style>
  <w:style w:type="paragraph" w:styleId="3">
    <w:name w:val="heading 3"/>
    <w:basedOn w:val="a"/>
    <w:link w:val="30"/>
    <w:uiPriority w:val="9"/>
    <w:qFormat/>
    <w:pPr>
      <w:spacing w:before="280" w:after="100" w:afterAutospacing="1"/>
      <w:outlineLvl w:val="2"/>
    </w:pPr>
    <w:rPr>
      <w:b/>
      <w:bCs/>
      <w:color w:val="1A1A2E"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333333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A7EA4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A7EA4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sz w:val="20"/>
      <w:szCs w:val="20"/>
      <w:shd w:val="clear" w:color="auto" w:fill="EEEEE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2026-05-16T10:15:00Z</dcterms:created>
  <dcterms:modified xsi:type="dcterms:W3CDTF">2026-05-16T10:30:00Z</dcterms:modified>
</cp:coreProperties>
</file>